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621"/>
        <w:gridCol w:w="4621"/>
      </w:tblGrid>
      <w:tr w:rsidR="00735653" w:rsidRPr="00735653" w:rsidTr="00CE3D34">
        <w:tc>
          <w:tcPr>
            <w:tcW w:w="4621" w:type="dxa"/>
          </w:tcPr>
          <w:p w:rsidR="00735653" w:rsidRPr="00735653" w:rsidRDefault="00735653" w:rsidP="00735653">
            <w:pPr>
              <w:widowControl w:val="0"/>
              <w:rPr>
                <w:rFonts w:ascii="Arial" w:eastAsia="Times New Roman" w:hAnsi="Arial" w:cs="Arial"/>
                <w:i/>
                <w:sz w:val="18"/>
                <w:szCs w:val="18"/>
                <w:lang w:val="hr-HR" w:eastAsia="hr-HR"/>
              </w:rPr>
            </w:pPr>
            <w:r w:rsidRPr="00735653">
              <w:rPr>
                <w:rFonts w:ascii="Arial" w:eastAsia="Times New Roman" w:hAnsi="Arial" w:cs="Arial"/>
                <w:i/>
                <w:sz w:val="18"/>
                <w:szCs w:val="18"/>
                <w:lang w:val="hr-HR" w:eastAsia="hr-HR"/>
              </w:rPr>
              <w:t>PRESS RELEASE</w:t>
            </w:r>
          </w:p>
        </w:tc>
        <w:tc>
          <w:tcPr>
            <w:tcW w:w="4621" w:type="dxa"/>
          </w:tcPr>
          <w:p w:rsidR="00735653" w:rsidRPr="00735653" w:rsidRDefault="00735653" w:rsidP="00735653">
            <w:pPr>
              <w:widowControl w:val="0"/>
              <w:jc w:val="right"/>
              <w:rPr>
                <w:rFonts w:ascii="Arial" w:eastAsia="Times New Roman" w:hAnsi="Arial" w:cs="Arial"/>
                <w:i/>
                <w:sz w:val="18"/>
                <w:szCs w:val="18"/>
                <w:lang w:val="hr-HR" w:eastAsia="hr-HR"/>
              </w:rPr>
            </w:pPr>
            <w:r w:rsidRPr="00735653">
              <w:rPr>
                <w:rFonts w:ascii="Arial" w:eastAsia="Times New Roman" w:hAnsi="Arial" w:cs="Arial"/>
                <w:i/>
                <w:sz w:val="18"/>
                <w:szCs w:val="18"/>
                <w:lang w:val="hr-HR" w:eastAsia="hr-HR"/>
              </w:rPr>
              <w:t>FOR IMMEDIATE RELEASE</w:t>
            </w:r>
          </w:p>
        </w:tc>
      </w:tr>
    </w:tbl>
    <w:p w:rsidR="006519C3" w:rsidRPr="00966AE5" w:rsidRDefault="006519C3" w:rsidP="00597606">
      <w:pPr>
        <w:spacing w:after="240"/>
        <w:jc w:val="center"/>
        <w:rPr>
          <w:rFonts w:eastAsia="Times New Roman" w:cs="Times New Roman"/>
          <w:sz w:val="24"/>
          <w:szCs w:val="24"/>
        </w:rPr>
      </w:pPr>
      <w:r w:rsidRPr="00966AE5">
        <w:rPr>
          <w:rFonts w:eastAsia="Times New Roman" w:cs="Times New Roman"/>
          <w:noProof/>
          <w:sz w:val="24"/>
          <w:szCs w:val="24"/>
          <w:lang w:val="en-US"/>
        </w:rPr>
        <w:drawing>
          <wp:inline distT="0" distB="0" distL="0" distR="0">
            <wp:extent cx="2856230" cy="51435"/>
            <wp:effectExtent l="19050" t="0" r="1270" b="0"/>
            <wp:docPr id="2" name="Picture 1" descr="dott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ted lines"/>
                    <pic:cNvPicPr>
                      <a:picLocks noChangeAspect="1" noChangeArrowheads="1"/>
                    </pic:cNvPicPr>
                  </pic:nvPicPr>
                  <pic:blipFill>
                    <a:blip r:embed="rId6" cstate="print"/>
                    <a:srcRect/>
                    <a:stretch>
                      <a:fillRect/>
                    </a:stretch>
                  </pic:blipFill>
                  <pic:spPr bwMode="auto">
                    <a:xfrm>
                      <a:off x="0" y="0"/>
                      <a:ext cx="2856230" cy="51435"/>
                    </a:xfrm>
                    <a:prstGeom prst="rect">
                      <a:avLst/>
                    </a:prstGeom>
                    <a:noFill/>
                    <a:ln w="9525">
                      <a:noFill/>
                      <a:miter lim="800000"/>
                      <a:headEnd/>
                      <a:tailEnd/>
                    </a:ln>
                  </pic:spPr>
                </pic:pic>
              </a:graphicData>
            </a:graphic>
          </wp:inline>
        </w:drawing>
      </w:r>
    </w:p>
    <w:p w:rsidR="006519C3" w:rsidRPr="006519C3" w:rsidRDefault="006519C3" w:rsidP="006519C3">
      <w:pPr>
        <w:rPr>
          <w:rFonts w:eastAsia="Times New Roman" w:cs="Times New Roman"/>
          <w:sz w:val="24"/>
          <w:szCs w:val="24"/>
          <w:lang w:val="en-US"/>
        </w:rPr>
      </w:pPr>
      <w:r w:rsidRPr="006519C3">
        <w:rPr>
          <w:rFonts w:eastAsia="Times New Roman" w:cs="Times New Roman"/>
          <w:b/>
          <w:sz w:val="24"/>
          <w:szCs w:val="24"/>
          <w:lang w:val="en-US"/>
        </w:rPr>
        <w:t xml:space="preserve">IDC Forecasts Public IT Cloud Services Spending Will Approach $100 Billion in 2016, Generating 41% of Growth in Five Key IT Categories </w:t>
      </w:r>
      <w:r w:rsidRPr="006519C3">
        <w:rPr>
          <w:rFonts w:eastAsia="Times New Roman" w:cs="Times New Roman"/>
          <w:b/>
          <w:sz w:val="24"/>
          <w:szCs w:val="24"/>
          <w:lang w:val="en-US"/>
        </w:rPr>
        <w:br/>
      </w:r>
      <w:r w:rsidRPr="006519C3">
        <w:rPr>
          <w:rFonts w:eastAsia="Times New Roman" w:cs="Times New Roman"/>
          <w:sz w:val="24"/>
          <w:szCs w:val="24"/>
          <w:lang w:val="en-US"/>
        </w:rPr>
        <w:br/>
        <w:t xml:space="preserve">11 Sep 2012 </w:t>
      </w:r>
    </w:p>
    <w:p w:rsidR="006519C3" w:rsidRPr="006519C3" w:rsidRDefault="006519C3" w:rsidP="006519C3">
      <w:pPr>
        <w:spacing w:before="100" w:beforeAutospacing="1" w:after="100" w:afterAutospacing="1"/>
        <w:rPr>
          <w:rFonts w:eastAsia="Times New Roman" w:cs="Times New Roman"/>
          <w:sz w:val="24"/>
          <w:szCs w:val="24"/>
          <w:lang w:val="en-US"/>
        </w:rPr>
      </w:pPr>
      <w:r w:rsidRPr="00966AE5">
        <w:rPr>
          <w:rFonts w:eastAsia="Times New Roman" w:cs="Times New Roman"/>
          <w:b/>
          <w:bCs/>
          <w:sz w:val="24"/>
          <w:szCs w:val="24"/>
        </w:rPr>
        <w:t xml:space="preserve">IDC Press </w:t>
      </w:r>
      <w:proofErr w:type="spellStart"/>
      <w:r w:rsidRPr="00966AE5">
        <w:rPr>
          <w:rFonts w:eastAsia="Times New Roman" w:cs="Times New Roman"/>
          <w:b/>
          <w:bCs/>
          <w:sz w:val="24"/>
          <w:szCs w:val="24"/>
        </w:rPr>
        <w:t>Center</w:t>
      </w:r>
      <w:proofErr w:type="spellEnd"/>
      <w:r w:rsidRPr="00966AE5">
        <w:rPr>
          <w:rFonts w:eastAsia="Times New Roman" w:cs="Times New Roman"/>
          <w:sz w:val="24"/>
          <w:szCs w:val="24"/>
        </w:rPr>
        <w:t xml:space="preserve"> —</w:t>
      </w:r>
      <w:r w:rsidRPr="006519C3">
        <w:rPr>
          <w:rFonts w:eastAsia="Times New Roman" w:cs="Times New Roman"/>
          <w:sz w:val="24"/>
          <w:szCs w:val="24"/>
          <w:lang w:val="en-US"/>
        </w:rPr>
        <w:t xml:space="preserve"> </w:t>
      </w:r>
      <w:proofErr w:type="gramStart"/>
      <w:r w:rsidRPr="006519C3">
        <w:rPr>
          <w:rFonts w:eastAsia="Times New Roman" w:cs="Times New Roman"/>
          <w:sz w:val="24"/>
          <w:szCs w:val="24"/>
          <w:lang w:val="en-US"/>
        </w:rPr>
        <w:t>Worldwide</w:t>
      </w:r>
      <w:proofErr w:type="gramEnd"/>
      <w:r w:rsidRPr="006519C3">
        <w:rPr>
          <w:rFonts w:eastAsia="Times New Roman" w:cs="Times New Roman"/>
          <w:sz w:val="24"/>
          <w:szCs w:val="24"/>
          <w:lang w:val="en-US"/>
        </w:rPr>
        <w:t xml:space="preserve"> spending on public IT cloud services will be more than $40 billion in 2012 and is expected to approach $100 billion in 2016, according to a new forecast from International Data Corporation (IDC). Over the 2012–2016 forecast period, public IT cloud services will enjoy a compound annual growth rate (CAGR) of 26.4%, five times that of the IT industry overall, as companies accelerate their shift to the cloud services model for IT consumption. </w:t>
      </w:r>
    </w:p>
    <w:p w:rsidR="006519C3" w:rsidRPr="006519C3" w:rsidRDefault="006519C3" w:rsidP="006519C3">
      <w:pPr>
        <w:spacing w:before="100" w:beforeAutospacing="1" w:after="100" w:afterAutospacing="1"/>
        <w:rPr>
          <w:rFonts w:eastAsia="Times New Roman" w:cs="Times New Roman"/>
          <w:sz w:val="24"/>
          <w:szCs w:val="24"/>
          <w:lang w:val="en-US"/>
        </w:rPr>
      </w:pPr>
      <w:r w:rsidRPr="006519C3">
        <w:rPr>
          <w:rFonts w:eastAsia="Times New Roman" w:cs="Times New Roman"/>
          <w:sz w:val="24"/>
          <w:szCs w:val="24"/>
          <w:lang w:val="en-US"/>
        </w:rPr>
        <w:t xml:space="preserve">"The IT industry is in the midst of an important transformative period as companies invest in the technologies that will drive growth and innovation over the next two to three decades," said </w:t>
      </w:r>
      <w:r w:rsidRPr="006519C3">
        <w:rPr>
          <w:rFonts w:eastAsia="Times New Roman" w:cs="Times New Roman"/>
          <w:color w:val="0000FF"/>
          <w:sz w:val="24"/>
          <w:szCs w:val="24"/>
          <w:u w:val="single"/>
          <w:lang w:val="en-US"/>
        </w:rPr>
        <w:t>Frank Gens</w:t>
      </w:r>
      <w:r w:rsidRPr="006519C3">
        <w:rPr>
          <w:rFonts w:eastAsia="Times New Roman" w:cs="Times New Roman"/>
          <w:sz w:val="24"/>
          <w:szCs w:val="24"/>
          <w:lang w:val="en-US"/>
        </w:rPr>
        <w:t xml:space="preserve">, senior vice president and chief analyst at IDC. "By the end of the decade, IDC expects at least 80% of the industry's growth, and enterprises' highest-value leverage of IT, will be driven by cloud services and the other 3rd Platform technologies." </w:t>
      </w:r>
    </w:p>
    <w:p w:rsidR="006519C3" w:rsidRPr="006519C3" w:rsidRDefault="006519C3" w:rsidP="006519C3">
      <w:pPr>
        <w:spacing w:before="100" w:beforeAutospacing="1" w:after="100" w:afterAutospacing="1"/>
        <w:rPr>
          <w:rFonts w:eastAsia="Times New Roman" w:cs="Times New Roman"/>
          <w:sz w:val="24"/>
          <w:szCs w:val="24"/>
          <w:lang w:val="en-US"/>
        </w:rPr>
      </w:pPr>
      <w:r w:rsidRPr="006519C3">
        <w:rPr>
          <w:rFonts w:eastAsia="Times New Roman" w:cs="Times New Roman"/>
          <w:sz w:val="24"/>
          <w:szCs w:val="24"/>
          <w:lang w:val="en-US"/>
        </w:rPr>
        <w:t>By 2016, public IT cloud services will account for 16% of IT revenue in five key technology categories: applications, system infrastructure software, platform as a service (</w:t>
      </w:r>
      <w:proofErr w:type="spellStart"/>
      <w:r w:rsidRPr="006519C3">
        <w:rPr>
          <w:rFonts w:eastAsia="Times New Roman" w:cs="Times New Roman"/>
          <w:sz w:val="24"/>
          <w:szCs w:val="24"/>
          <w:lang w:val="en-US"/>
        </w:rPr>
        <w:t>PaaS</w:t>
      </w:r>
      <w:proofErr w:type="spellEnd"/>
      <w:r w:rsidRPr="006519C3">
        <w:rPr>
          <w:rFonts w:eastAsia="Times New Roman" w:cs="Times New Roman"/>
          <w:sz w:val="24"/>
          <w:szCs w:val="24"/>
          <w:lang w:val="en-US"/>
        </w:rPr>
        <w:t xml:space="preserve">), servers, and basic storage. More significantly, cloud services will generate 41% of all growth in these categories by 2016. "Quite simply, vendor failure in cloud services will mean stagnation," Gens added. </w:t>
      </w:r>
    </w:p>
    <w:p w:rsidR="006519C3" w:rsidRPr="006519C3" w:rsidRDefault="006519C3" w:rsidP="006519C3">
      <w:pPr>
        <w:spacing w:before="100" w:beforeAutospacing="1" w:after="100" w:afterAutospacing="1"/>
        <w:rPr>
          <w:rFonts w:eastAsia="Times New Roman" w:cs="Times New Roman"/>
          <w:sz w:val="24"/>
          <w:szCs w:val="24"/>
          <w:lang w:val="en-US"/>
        </w:rPr>
      </w:pPr>
      <w:r w:rsidRPr="006519C3">
        <w:rPr>
          <w:rFonts w:eastAsia="Times New Roman" w:cs="Times New Roman"/>
          <w:sz w:val="24"/>
          <w:szCs w:val="24"/>
          <w:lang w:val="en-US"/>
        </w:rPr>
        <w:t>Software as a service (</w:t>
      </w:r>
      <w:proofErr w:type="spellStart"/>
      <w:r w:rsidRPr="006519C3">
        <w:rPr>
          <w:rFonts w:eastAsia="Times New Roman" w:cs="Times New Roman"/>
          <w:sz w:val="24"/>
          <w:szCs w:val="24"/>
          <w:lang w:val="en-US"/>
        </w:rPr>
        <w:t>SaaS</w:t>
      </w:r>
      <w:proofErr w:type="spellEnd"/>
      <w:r w:rsidRPr="006519C3">
        <w:rPr>
          <w:rFonts w:eastAsia="Times New Roman" w:cs="Times New Roman"/>
          <w:sz w:val="24"/>
          <w:szCs w:val="24"/>
          <w:lang w:val="en-US"/>
        </w:rPr>
        <w:t xml:space="preserve">), which is the combination of applications as a service and system infrastructure software as a service, will claim the largest share of public IT cloud services spending over the next five years. But other categories, notably basic storage and platform as a service, will show faster growth. Accelerating </w:t>
      </w:r>
      <w:proofErr w:type="spellStart"/>
      <w:r w:rsidRPr="006519C3">
        <w:rPr>
          <w:rFonts w:eastAsia="Times New Roman" w:cs="Times New Roman"/>
          <w:sz w:val="24"/>
          <w:szCs w:val="24"/>
          <w:lang w:val="en-US"/>
        </w:rPr>
        <w:t>PaaS</w:t>
      </w:r>
      <w:proofErr w:type="spellEnd"/>
      <w:r w:rsidRPr="006519C3">
        <w:rPr>
          <w:rFonts w:eastAsia="Times New Roman" w:cs="Times New Roman"/>
          <w:sz w:val="24"/>
          <w:szCs w:val="24"/>
          <w:lang w:val="en-US"/>
        </w:rPr>
        <w:t xml:space="preserve"> rollouts over the next 12-18 months will be critical to maintaining strong cloud momentum. </w:t>
      </w:r>
    </w:p>
    <w:p w:rsidR="006519C3" w:rsidRPr="006519C3" w:rsidRDefault="006519C3" w:rsidP="006519C3">
      <w:pPr>
        <w:spacing w:before="100" w:beforeAutospacing="1" w:after="100" w:afterAutospacing="1"/>
        <w:rPr>
          <w:rFonts w:eastAsia="Times New Roman" w:cs="Times New Roman"/>
          <w:sz w:val="24"/>
          <w:szCs w:val="24"/>
          <w:lang w:val="en-US"/>
        </w:rPr>
      </w:pPr>
      <w:r w:rsidRPr="006519C3">
        <w:rPr>
          <w:rFonts w:eastAsia="Times New Roman" w:cs="Times New Roman"/>
          <w:sz w:val="24"/>
          <w:szCs w:val="24"/>
          <w:lang w:val="en-US"/>
        </w:rPr>
        <w:t xml:space="preserve">Geographically, the United States will remain the largest public cloud services market, followed by Western Europe and Asia/Pacific (excluding Japan). But the fastest growth in public IT services spending will be in the emerging markets, which will see its collective share nearly double by 2016 when it will account for almost 30% of net-new public IT cloud services spending growth. </w:t>
      </w:r>
    </w:p>
    <w:p w:rsidR="006519C3" w:rsidRPr="006519C3" w:rsidRDefault="006519C3" w:rsidP="006519C3">
      <w:pPr>
        <w:spacing w:before="100" w:beforeAutospacing="1" w:after="100" w:afterAutospacing="1"/>
        <w:rPr>
          <w:rFonts w:eastAsia="Times New Roman" w:cs="Times New Roman"/>
          <w:sz w:val="24"/>
          <w:szCs w:val="24"/>
          <w:lang w:val="en-US"/>
        </w:rPr>
      </w:pPr>
      <w:r w:rsidRPr="006519C3">
        <w:rPr>
          <w:rFonts w:eastAsia="Times New Roman" w:cs="Times New Roman"/>
          <w:sz w:val="24"/>
          <w:szCs w:val="24"/>
          <w:lang w:val="en-US"/>
        </w:rPr>
        <w:t xml:space="preserve">IDC defines public IT cloud services as those offerings designed for, and commercially offered to, a largely unrestricted marketplace of potential users. The forecast does not include revenue from private cloud deployments, which are dedicated to a specific customer. While private clouds provide the customer with the ability to specify access limitations and the level of resource dedication beyond what is currently available in public cloud offerings, IDC's </w:t>
      </w:r>
      <w:r w:rsidRPr="006519C3">
        <w:rPr>
          <w:rFonts w:eastAsia="Times New Roman" w:cs="Times New Roman"/>
          <w:sz w:val="24"/>
          <w:szCs w:val="24"/>
          <w:lang w:val="en-US"/>
        </w:rPr>
        <w:lastRenderedPageBreak/>
        <w:t xml:space="preserve">expectation is that public clouds will mature and eventually incorporate many of the capabilities (particularly security and availability) that make private clouds an attractive option today. </w:t>
      </w:r>
    </w:p>
    <w:p w:rsidR="006519C3" w:rsidRPr="006519C3" w:rsidRDefault="006519C3" w:rsidP="006519C3">
      <w:pPr>
        <w:spacing w:before="100" w:beforeAutospacing="1" w:after="100" w:afterAutospacing="1"/>
        <w:rPr>
          <w:rFonts w:eastAsia="Times New Roman" w:cs="Times New Roman"/>
          <w:sz w:val="24"/>
          <w:szCs w:val="24"/>
          <w:lang w:val="en-US"/>
        </w:rPr>
      </w:pPr>
      <w:r w:rsidRPr="006519C3">
        <w:rPr>
          <w:rFonts w:eastAsia="Times New Roman" w:cs="Times New Roman"/>
          <w:sz w:val="24"/>
          <w:szCs w:val="24"/>
          <w:lang w:val="en-US"/>
        </w:rPr>
        <w:t xml:space="preserve">The IDC study, </w:t>
      </w:r>
      <w:r w:rsidRPr="006519C3">
        <w:rPr>
          <w:rFonts w:eastAsia="Times New Roman" w:cs="Times New Roman"/>
          <w:i/>
          <w:iCs/>
          <w:color w:val="0000FF"/>
          <w:sz w:val="24"/>
          <w:szCs w:val="24"/>
          <w:u w:val="single"/>
          <w:lang w:val="en-US"/>
        </w:rPr>
        <w:t>Worldwide and Regional Public IT Cloud Services 2012-2016 Forecast</w:t>
      </w:r>
      <w:r w:rsidRPr="006519C3">
        <w:rPr>
          <w:rFonts w:eastAsia="Times New Roman" w:cs="Times New Roman"/>
          <w:sz w:val="24"/>
          <w:szCs w:val="24"/>
          <w:lang w:val="en-US"/>
        </w:rPr>
        <w:t xml:space="preserve"> (IDC #236552) forecasts revenue growth from public IT cloud services through 2016, segmented by five functional categories within eight regions/countries. The forecast data, driven by IDC's key assumptions for public IT cloud services development and adoption, lead to this document's key conclusions regarding cloud offerings' revenue and growth impacts on the IT industry, customer adoption shifts among the five IT cloud services categories, and shifting adoption patterns among the eight regions/countries.</w:t>
      </w:r>
      <w:r>
        <w:rPr>
          <w:rFonts w:eastAsia="Times New Roman" w:cs="Times New Roman"/>
          <w:sz w:val="24"/>
          <w:szCs w:val="24"/>
          <w:lang w:val="en-US"/>
        </w:rPr>
        <w:t xml:space="preserve"> </w:t>
      </w:r>
      <w:r w:rsidRPr="00A70BD4">
        <w:rPr>
          <w:rFonts w:eastAsia="Times New Roman" w:cs="Times New Roman"/>
          <w:sz w:val="24"/>
          <w:szCs w:val="24"/>
        </w:rPr>
        <w:t xml:space="preserve">For more information, please contact </w:t>
      </w:r>
      <w:proofErr w:type="spellStart"/>
      <w:r>
        <w:rPr>
          <w:rFonts w:eastAsia="Times New Roman" w:cs="Times New Roman"/>
          <w:sz w:val="24"/>
          <w:szCs w:val="24"/>
        </w:rPr>
        <w:t>Evangelos</w:t>
      </w:r>
      <w:proofErr w:type="spellEnd"/>
      <w:r>
        <w:rPr>
          <w:rFonts w:eastAsia="Times New Roman" w:cs="Times New Roman"/>
          <w:sz w:val="24"/>
          <w:szCs w:val="24"/>
        </w:rPr>
        <w:t xml:space="preserve"> </w:t>
      </w:r>
      <w:proofErr w:type="spellStart"/>
      <w:r>
        <w:rPr>
          <w:rFonts w:eastAsia="Times New Roman" w:cs="Times New Roman"/>
          <w:sz w:val="24"/>
          <w:szCs w:val="24"/>
        </w:rPr>
        <w:t>Karanikas</w:t>
      </w:r>
      <w:proofErr w:type="spellEnd"/>
      <w:r w:rsidRPr="002C1522">
        <w:rPr>
          <w:rFonts w:eastAsia="Times New Roman" w:cs="Times New Roman"/>
          <w:sz w:val="24"/>
          <w:szCs w:val="24"/>
        </w:rPr>
        <w:t xml:space="preserve"> at </w:t>
      </w:r>
      <w:r>
        <w:rPr>
          <w:rFonts w:eastAsia="Times New Roman" w:cs="Times New Roman"/>
          <w:sz w:val="24"/>
          <w:szCs w:val="24"/>
        </w:rPr>
        <w:t xml:space="preserve">0030 210 7473 676 </w:t>
      </w:r>
      <w:r w:rsidRPr="002C1522">
        <w:rPr>
          <w:rFonts w:eastAsia="Times New Roman" w:cs="Times New Roman"/>
          <w:sz w:val="24"/>
          <w:szCs w:val="24"/>
        </w:rPr>
        <w:t xml:space="preserve">or </w:t>
      </w:r>
      <w:r w:rsidRPr="00E564B1">
        <w:rPr>
          <w:rStyle w:val="Hyperlink"/>
          <w:rFonts w:cs="Times New Roman"/>
          <w:sz w:val="24"/>
          <w:szCs w:val="24"/>
        </w:rPr>
        <w:t>ekaranikas@idc.com</w:t>
      </w:r>
      <w:r w:rsidRPr="00A70BD4">
        <w:rPr>
          <w:rFonts w:eastAsia="Times New Roman" w:cs="Times New Roman"/>
          <w:sz w:val="24"/>
          <w:szCs w:val="24"/>
        </w:rPr>
        <w:t>.</w:t>
      </w:r>
      <w:r w:rsidRPr="006519C3">
        <w:rPr>
          <w:rFonts w:eastAsia="Times New Roman" w:cs="Times New Roman"/>
          <w:sz w:val="24"/>
          <w:szCs w:val="24"/>
          <w:lang w:val="en-US"/>
        </w:rPr>
        <w:t xml:space="preserve"> </w:t>
      </w:r>
    </w:p>
    <w:p w:rsidR="006519C3" w:rsidRPr="006519C3" w:rsidRDefault="006519C3" w:rsidP="006519C3">
      <w:pPr>
        <w:spacing w:before="100" w:beforeAutospacing="1" w:after="100" w:afterAutospacing="1"/>
        <w:rPr>
          <w:rFonts w:eastAsia="Times New Roman" w:cs="Times New Roman"/>
          <w:sz w:val="24"/>
          <w:szCs w:val="24"/>
          <w:lang w:val="en-US"/>
        </w:rPr>
      </w:pPr>
      <w:r w:rsidRPr="006519C3">
        <w:rPr>
          <w:rFonts w:eastAsia="Times New Roman" w:cs="Times New Roman"/>
          <w:b/>
          <w:bCs/>
          <w:sz w:val="24"/>
          <w:szCs w:val="24"/>
          <w:lang w:val="en-US"/>
        </w:rPr>
        <w:t>About IDC</w:t>
      </w:r>
      <w:r w:rsidRPr="006519C3">
        <w:rPr>
          <w:rFonts w:eastAsia="Times New Roman" w:cs="Times New Roman"/>
          <w:sz w:val="24"/>
          <w:szCs w:val="24"/>
          <w:lang w:val="en-US"/>
        </w:rPr>
        <w:t xml:space="preserve"> </w:t>
      </w:r>
    </w:p>
    <w:p w:rsidR="006519C3" w:rsidRPr="006519C3" w:rsidRDefault="006519C3" w:rsidP="006519C3">
      <w:pPr>
        <w:spacing w:before="100" w:beforeAutospacing="1" w:after="100" w:afterAutospacing="1"/>
        <w:rPr>
          <w:rFonts w:eastAsia="Times New Roman" w:cs="Times New Roman"/>
          <w:sz w:val="24"/>
          <w:szCs w:val="24"/>
          <w:lang w:val="en-US"/>
        </w:rPr>
      </w:pPr>
      <w:r w:rsidRPr="006519C3">
        <w:rPr>
          <w:rFonts w:eastAsia="Times New Roman" w:cs="Times New Roman"/>
          <w:sz w:val="24"/>
          <w:szCs w:val="24"/>
          <w:lang w:val="en-US"/>
        </w:rPr>
        <w:t xml:space="preserve">International Data Corporation (IDC) is the premier global provider of market intelligence, advisory services, and events for the information technology, telecommunications, and consumer technology markets. IDC helps IT professionals, business executives, and the investment community to make fact-based decisions on technology purchases and business strategy. More than 1,000 IDC analysts provide global, regional, and local expertise on technology and industry opportunities and trends in over 110 countries. For more than 48 years, IDC has provided strategic insights to help our clients achieve their key business objectives. IDC is a subsidiary of IDG, the world's leading technology media, research, and </w:t>
      </w:r>
      <w:proofErr w:type="gramStart"/>
      <w:r w:rsidRPr="006519C3">
        <w:rPr>
          <w:rFonts w:eastAsia="Times New Roman" w:cs="Times New Roman"/>
          <w:sz w:val="24"/>
          <w:szCs w:val="24"/>
          <w:lang w:val="en-US"/>
        </w:rPr>
        <w:t>events company</w:t>
      </w:r>
      <w:proofErr w:type="gramEnd"/>
      <w:r w:rsidRPr="006519C3">
        <w:rPr>
          <w:rFonts w:eastAsia="Times New Roman" w:cs="Times New Roman"/>
          <w:sz w:val="24"/>
          <w:szCs w:val="24"/>
          <w:lang w:val="en-US"/>
        </w:rPr>
        <w:t xml:space="preserve">. You can learn more about IDC by visiting </w:t>
      </w:r>
      <w:r w:rsidRPr="006519C3">
        <w:rPr>
          <w:rFonts w:eastAsia="Times New Roman" w:cs="Times New Roman"/>
          <w:color w:val="0000FF"/>
          <w:sz w:val="24"/>
          <w:szCs w:val="24"/>
          <w:u w:val="single"/>
          <w:lang w:val="en-US"/>
        </w:rPr>
        <w:t>www.idc.com</w:t>
      </w:r>
      <w:r w:rsidRPr="006519C3">
        <w:rPr>
          <w:rFonts w:eastAsia="Times New Roman" w:cs="Times New Roman"/>
          <w:sz w:val="24"/>
          <w:szCs w:val="24"/>
          <w:lang w:val="en-US"/>
        </w:rPr>
        <w:t xml:space="preserve">. </w:t>
      </w:r>
    </w:p>
    <w:p w:rsidR="00735653" w:rsidRPr="00735653" w:rsidRDefault="00735653" w:rsidP="00735653">
      <w:pPr>
        <w:widowControl w:val="0"/>
        <w:jc w:val="center"/>
        <w:rPr>
          <w:rFonts w:ascii="Arial" w:eastAsia="Times New Roman" w:hAnsi="Arial" w:cs="Arial"/>
          <w:sz w:val="18"/>
          <w:szCs w:val="18"/>
          <w:lang w:val="hr-HR" w:eastAsia="hr-HR"/>
        </w:rPr>
      </w:pPr>
      <w:r w:rsidRPr="00735653">
        <w:rPr>
          <w:rFonts w:ascii="Arial" w:eastAsia="Times New Roman" w:hAnsi="Arial" w:cs="Arial"/>
          <w:sz w:val="18"/>
          <w:szCs w:val="18"/>
          <w:lang w:val="hr-HR" w:eastAsia="hr-HR"/>
        </w:rPr>
        <w:t>###</w:t>
      </w:r>
    </w:p>
    <w:p w:rsidR="006519C3" w:rsidRDefault="006519C3">
      <w:pPr>
        <w:rPr>
          <w:lang w:val="en-US"/>
        </w:rPr>
      </w:pPr>
    </w:p>
    <w:p w:rsidR="006519C3" w:rsidRPr="006519C3" w:rsidRDefault="006519C3">
      <w:pPr>
        <w:rPr>
          <w:lang w:val="en-US"/>
        </w:rPr>
      </w:pPr>
    </w:p>
    <w:sectPr w:rsidR="006519C3" w:rsidRPr="006519C3" w:rsidSect="004A483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67" w:rsidRDefault="00AA3367" w:rsidP="00735653">
      <w:r>
        <w:separator/>
      </w:r>
    </w:p>
  </w:endnote>
  <w:endnote w:type="continuationSeparator" w:id="0">
    <w:p w:rsidR="00AA3367" w:rsidRDefault="00AA3367" w:rsidP="007356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67" w:rsidRDefault="00AA3367" w:rsidP="00735653">
      <w:r>
        <w:separator/>
      </w:r>
    </w:p>
  </w:footnote>
  <w:footnote w:type="continuationSeparator" w:id="0">
    <w:p w:rsidR="00AA3367" w:rsidRDefault="00AA3367" w:rsidP="00735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3" w:rsidRDefault="00735653" w:rsidP="00735653">
    <w:pPr>
      <w:pStyle w:val="Header"/>
      <w:jc w:val="center"/>
    </w:pPr>
    <w:r w:rsidRPr="00735653">
      <w:rPr>
        <w:noProof/>
        <w:lang w:val="en-US"/>
      </w:rPr>
      <w:drawing>
        <wp:inline distT="0" distB="0" distL="0" distR="0">
          <wp:extent cx="2219325" cy="895350"/>
          <wp:effectExtent l="19050" t="0" r="9525" b="0"/>
          <wp:docPr id="1" name="Picture 1" descr="IDC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_72DPI"/>
                  <pic:cNvPicPr>
                    <a:picLocks noChangeAspect="1" noChangeArrowheads="1"/>
                  </pic:cNvPicPr>
                </pic:nvPicPr>
                <pic:blipFill>
                  <a:blip r:embed="rId1" cstate="print"/>
                  <a:srcRect/>
                  <a:stretch>
                    <a:fillRect/>
                  </a:stretch>
                </pic:blipFill>
                <pic:spPr bwMode="auto">
                  <a:xfrm>
                    <a:off x="0" y="0"/>
                    <a:ext cx="2219325" cy="8953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19C3"/>
    <w:rsid w:val="002D21AC"/>
    <w:rsid w:val="004A483A"/>
    <w:rsid w:val="004D7822"/>
    <w:rsid w:val="00563FF6"/>
    <w:rsid w:val="00566E76"/>
    <w:rsid w:val="00597606"/>
    <w:rsid w:val="006519C3"/>
    <w:rsid w:val="00735653"/>
    <w:rsid w:val="00AA3367"/>
    <w:rsid w:val="00D067DB"/>
    <w:rsid w:val="00E55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22"/>
    <w:pPr>
      <w:spacing w:after="0" w:line="240" w:lineRule="auto"/>
    </w:pPr>
    <w:rPr>
      <w:rFonts w:ascii="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bkbd">
    <w:name w:val="bodybkbd"/>
    <w:basedOn w:val="DefaultParagraphFont"/>
    <w:rsid w:val="006519C3"/>
  </w:style>
  <w:style w:type="paragraph" w:styleId="NormalWeb">
    <w:name w:val="Normal (Web)"/>
    <w:basedOn w:val="Normal"/>
    <w:uiPriority w:val="99"/>
    <w:semiHidden/>
    <w:unhideWhenUsed/>
    <w:rsid w:val="006519C3"/>
    <w:pPr>
      <w:spacing w:before="100" w:beforeAutospacing="1" w:after="100" w:afterAutospacing="1"/>
    </w:pPr>
    <w:rPr>
      <w:rFonts w:eastAsia="Times New Roman" w:cs="Times New Roman"/>
      <w:sz w:val="24"/>
      <w:szCs w:val="24"/>
      <w:lang w:val="en-US"/>
    </w:rPr>
  </w:style>
  <w:style w:type="character" w:styleId="Strong">
    <w:name w:val="Strong"/>
    <w:basedOn w:val="DefaultParagraphFont"/>
    <w:uiPriority w:val="22"/>
    <w:qFormat/>
    <w:rsid w:val="006519C3"/>
    <w:rPr>
      <w:b/>
      <w:bCs/>
    </w:rPr>
  </w:style>
  <w:style w:type="character" w:styleId="Hyperlink">
    <w:name w:val="Hyperlink"/>
    <w:basedOn w:val="DefaultParagraphFont"/>
    <w:uiPriority w:val="99"/>
    <w:semiHidden/>
    <w:unhideWhenUsed/>
    <w:rsid w:val="006519C3"/>
    <w:rPr>
      <w:color w:val="0000FF"/>
      <w:u w:val="single"/>
    </w:rPr>
  </w:style>
  <w:style w:type="character" w:styleId="Emphasis">
    <w:name w:val="Emphasis"/>
    <w:basedOn w:val="DefaultParagraphFont"/>
    <w:uiPriority w:val="20"/>
    <w:qFormat/>
    <w:rsid w:val="006519C3"/>
    <w:rPr>
      <w:i/>
      <w:iCs/>
    </w:rPr>
  </w:style>
  <w:style w:type="paragraph" w:styleId="BalloonText">
    <w:name w:val="Balloon Text"/>
    <w:basedOn w:val="Normal"/>
    <w:link w:val="BalloonTextChar"/>
    <w:uiPriority w:val="99"/>
    <w:semiHidden/>
    <w:unhideWhenUsed/>
    <w:rsid w:val="006519C3"/>
    <w:rPr>
      <w:rFonts w:ascii="Tahoma" w:hAnsi="Tahoma" w:cs="Tahoma"/>
      <w:sz w:val="16"/>
      <w:szCs w:val="16"/>
    </w:rPr>
  </w:style>
  <w:style w:type="character" w:customStyle="1" w:styleId="BalloonTextChar">
    <w:name w:val="Balloon Text Char"/>
    <w:basedOn w:val="DefaultParagraphFont"/>
    <w:link w:val="BalloonText"/>
    <w:uiPriority w:val="99"/>
    <w:semiHidden/>
    <w:rsid w:val="006519C3"/>
    <w:rPr>
      <w:rFonts w:ascii="Tahoma" w:hAnsi="Tahoma" w:cs="Tahoma"/>
      <w:sz w:val="16"/>
      <w:szCs w:val="16"/>
      <w:lang w:val="en-GB"/>
    </w:rPr>
  </w:style>
  <w:style w:type="paragraph" w:styleId="Header">
    <w:name w:val="header"/>
    <w:basedOn w:val="Normal"/>
    <w:link w:val="HeaderChar"/>
    <w:uiPriority w:val="99"/>
    <w:semiHidden/>
    <w:unhideWhenUsed/>
    <w:rsid w:val="00735653"/>
    <w:pPr>
      <w:tabs>
        <w:tab w:val="center" w:pos="4680"/>
        <w:tab w:val="right" w:pos="9360"/>
      </w:tabs>
    </w:pPr>
  </w:style>
  <w:style w:type="character" w:customStyle="1" w:styleId="HeaderChar">
    <w:name w:val="Header Char"/>
    <w:basedOn w:val="DefaultParagraphFont"/>
    <w:link w:val="Header"/>
    <w:uiPriority w:val="99"/>
    <w:semiHidden/>
    <w:rsid w:val="00735653"/>
    <w:rPr>
      <w:rFonts w:ascii="Times New Roman" w:hAnsi="Times New Roman"/>
      <w:sz w:val="20"/>
      <w:szCs w:val="20"/>
      <w:lang w:val="en-GB"/>
    </w:rPr>
  </w:style>
  <w:style w:type="paragraph" w:styleId="Footer">
    <w:name w:val="footer"/>
    <w:basedOn w:val="Normal"/>
    <w:link w:val="FooterChar"/>
    <w:uiPriority w:val="99"/>
    <w:semiHidden/>
    <w:unhideWhenUsed/>
    <w:rsid w:val="00735653"/>
    <w:pPr>
      <w:tabs>
        <w:tab w:val="center" w:pos="4680"/>
        <w:tab w:val="right" w:pos="9360"/>
      </w:tabs>
    </w:pPr>
  </w:style>
  <w:style w:type="character" w:customStyle="1" w:styleId="FooterChar">
    <w:name w:val="Footer Char"/>
    <w:basedOn w:val="DefaultParagraphFont"/>
    <w:link w:val="Footer"/>
    <w:uiPriority w:val="99"/>
    <w:semiHidden/>
    <w:rsid w:val="00735653"/>
    <w:rPr>
      <w:rFonts w:ascii="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1436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3801</Characters>
  <Application>Microsoft Office Word</Application>
  <DocSecurity>0</DocSecurity>
  <Lines>31</Lines>
  <Paragraphs>8</Paragraphs>
  <ScaleCrop>false</ScaleCrop>
  <Company>IDC</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ekaranikas</dc:creator>
  <cp:lastModifiedBy>tmattheoyianni</cp:lastModifiedBy>
  <cp:revision>4</cp:revision>
  <dcterms:created xsi:type="dcterms:W3CDTF">2012-09-24T16:11:00Z</dcterms:created>
  <dcterms:modified xsi:type="dcterms:W3CDTF">2012-09-24T16:14:00Z</dcterms:modified>
</cp:coreProperties>
</file>